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99" w:rsidRPr="00F05607" w:rsidRDefault="00EA3B99" w:rsidP="00EA3B99">
      <w:pPr>
        <w:spacing w:line="320" w:lineRule="exact"/>
        <w:outlineLvl w:val="1"/>
        <w:rPr>
          <w:rFonts w:ascii="標楷體" w:eastAsia="標楷體"/>
          <w:color w:val="000000"/>
          <w:szCs w:val="24"/>
        </w:rPr>
      </w:pPr>
      <w:r w:rsidRPr="00F05607">
        <w:rPr>
          <w:rFonts w:ascii="標楷體" w:eastAsia="標楷體" w:hint="eastAsia"/>
          <w:color w:val="000000"/>
          <w:szCs w:val="24"/>
        </w:rPr>
        <w:t>董事(含獨立董事)</w:t>
      </w:r>
      <w:r>
        <w:rPr>
          <w:rFonts w:ascii="標楷體" w:eastAsia="標楷體" w:hint="eastAsia"/>
          <w:color w:val="000000"/>
          <w:szCs w:val="24"/>
        </w:rPr>
        <w:t>簡介</w:t>
      </w:r>
    </w:p>
    <w:tbl>
      <w:tblPr>
        <w:tblW w:w="80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6"/>
        <w:gridCol w:w="948"/>
        <w:gridCol w:w="1370"/>
        <w:gridCol w:w="1843"/>
        <w:gridCol w:w="1842"/>
        <w:gridCol w:w="1276"/>
      </w:tblGrid>
      <w:tr w:rsidR="00EA3B99" w:rsidRPr="007E4374" w:rsidTr="00EA3B99">
        <w:trPr>
          <w:trHeight w:val="1080"/>
        </w:trPr>
        <w:tc>
          <w:tcPr>
            <w:tcW w:w="816" w:type="dxa"/>
            <w:shd w:val="clear" w:color="auto" w:fill="auto"/>
            <w:vAlign w:val="center"/>
          </w:tcPr>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類別</w:t>
            </w:r>
          </w:p>
        </w:tc>
        <w:tc>
          <w:tcPr>
            <w:tcW w:w="948" w:type="dxa"/>
            <w:shd w:val="clear" w:color="auto" w:fill="auto"/>
            <w:vAlign w:val="center"/>
          </w:tcPr>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姓名</w:t>
            </w:r>
          </w:p>
        </w:tc>
        <w:tc>
          <w:tcPr>
            <w:tcW w:w="1370" w:type="dxa"/>
            <w:shd w:val="clear" w:color="auto" w:fill="auto"/>
            <w:vAlign w:val="center"/>
          </w:tcPr>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學歷</w:t>
            </w:r>
          </w:p>
        </w:tc>
        <w:tc>
          <w:tcPr>
            <w:tcW w:w="1843" w:type="dxa"/>
            <w:shd w:val="clear" w:color="auto" w:fill="auto"/>
            <w:vAlign w:val="center"/>
          </w:tcPr>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經歷</w:t>
            </w:r>
          </w:p>
        </w:tc>
        <w:tc>
          <w:tcPr>
            <w:tcW w:w="1842" w:type="dxa"/>
            <w:shd w:val="clear" w:color="auto" w:fill="auto"/>
            <w:vAlign w:val="center"/>
          </w:tcPr>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現職</w:t>
            </w:r>
          </w:p>
        </w:tc>
        <w:tc>
          <w:tcPr>
            <w:tcW w:w="1276" w:type="dxa"/>
            <w:shd w:val="clear" w:color="auto" w:fill="auto"/>
            <w:vAlign w:val="center"/>
          </w:tcPr>
          <w:p w:rsidR="00EA3B99"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所代表法人</w:t>
            </w:r>
          </w:p>
          <w:p w:rsidR="00EA3B99" w:rsidRPr="007E4374" w:rsidRDefault="00EA3B99" w:rsidP="00EA3B99">
            <w:pPr>
              <w:widowControl/>
              <w:spacing w:line="360" w:lineRule="exact"/>
              <w:jc w:val="center"/>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名稱</w:t>
            </w:r>
          </w:p>
        </w:tc>
      </w:tr>
      <w:tr w:rsidR="00EA3B99" w:rsidRPr="007E4374" w:rsidTr="00EA3B99">
        <w:trPr>
          <w:trHeight w:val="1094"/>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代表人：</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葉南宏</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美國聖路易市華盛頓大學企管碩士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公司董事長</w:t>
            </w:r>
            <w:r w:rsidRPr="007E4374">
              <w:rPr>
                <w:rFonts w:eastAsia="標楷體"/>
                <w:color w:val="000000"/>
                <w:kern w:val="0"/>
                <w:sz w:val="20"/>
              </w:rPr>
              <w:t xml:space="preserve">       </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公司董事長</w:t>
            </w:r>
          </w:p>
        </w:tc>
        <w:tc>
          <w:tcPr>
            <w:tcW w:w="127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闊德工業股份有限公司</w:t>
            </w:r>
          </w:p>
        </w:tc>
      </w:tr>
      <w:tr w:rsidR="00EA3B99" w:rsidRPr="007E4374" w:rsidTr="00EA3B99">
        <w:trPr>
          <w:trHeight w:val="1037"/>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代表人：</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邱順建</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台灣大學電機工程研究所碩士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公司總經理</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公司總經理</w:t>
            </w:r>
          </w:p>
        </w:tc>
        <w:tc>
          <w:tcPr>
            <w:tcW w:w="127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前驅國際有限公司</w:t>
            </w:r>
          </w:p>
        </w:tc>
      </w:tr>
      <w:tr w:rsidR="00EA3B99" w:rsidRPr="007E4374" w:rsidTr="00EA3B99">
        <w:trPr>
          <w:trHeight w:val="1450"/>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代表人：</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proofErr w:type="gramStart"/>
            <w:r w:rsidRPr="007E4374">
              <w:rPr>
                <w:rFonts w:ascii="標楷體" w:eastAsia="標楷體" w:hAnsi="標楷體" w:cs="新細明體" w:hint="eastAsia"/>
                <w:color w:val="000000"/>
                <w:kern w:val="0"/>
                <w:sz w:val="20"/>
              </w:rPr>
              <w:t>葉博任</w:t>
            </w:r>
            <w:proofErr w:type="gramEnd"/>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英國拉夫伯諾大學材料工</w:t>
            </w:r>
            <w:smartTag w:uri="urn:schemas-microsoft-com:office:smarttags" w:element="PersonName">
              <w:smartTagPr>
                <w:attr w:name="ProductID" w:val="程"/>
              </w:smartTagPr>
              <w:r w:rsidRPr="007E4374">
                <w:rPr>
                  <w:rFonts w:ascii="標楷體" w:eastAsia="標楷體" w:hAnsi="標楷體" w:cs="新細明體" w:hint="eastAsia"/>
                  <w:color w:val="000000"/>
                  <w:kern w:val="0"/>
                  <w:sz w:val="20"/>
                </w:rPr>
                <w:t>程</w:t>
              </w:r>
            </w:smartTag>
            <w:r w:rsidRPr="007E4374">
              <w:rPr>
                <w:rFonts w:ascii="標楷體" w:eastAsia="標楷體" w:hAnsi="標楷體" w:cs="新細明體" w:hint="eastAsia"/>
                <w:color w:val="000000"/>
                <w:kern w:val="0"/>
                <w:sz w:val="20"/>
              </w:rPr>
              <w:t>博士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proofErr w:type="gramStart"/>
            <w:r w:rsidRPr="007E4374">
              <w:rPr>
                <w:rFonts w:ascii="標楷體" w:eastAsia="標楷體" w:hAnsi="標楷體" w:cs="新細明體" w:hint="eastAsia"/>
                <w:color w:val="000000"/>
                <w:kern w:val="0"/>
                <w:sz w:val="20"/>
              </w:rPr>
              <w:t>鴻威創業</w:t>
            </w:r>
            <w:proofErr w:type="gramEnd"/>
            <w:r w:rsidRPr="007E4374">
              <w:rPr>
                <w:rFonts w:ascii="標楷體" w:eastAsia="標楷體" w:hAnsi="標楷體" w:cs="新細明體" w:hint="eastAsia"/>
                <w:color w:val="000000"/>
                <w:kern w:val="0"/>
                <w:sz w:val="20"/>
              </w:rPr>
              <w:t>投資</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公司董事長</w:t>
            </w:r>
            <w:r w:rsidRPr="007E4374">
              <w:rPr>
                <w:rFonts w:eastAsia="標楷體"/>
                <w:color w:val="000000"/>
                <w:kern w:val="0"/>
                <w:sz w:val="20"/>
              </w:rPr>
              <w:t xml:space="preserve">              </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proofErr w:type="gramStart"/>
            <w:r w:rsidRPr="007E4374">
              <w:rPr>
                <w:rFonts w:ascii="標楷體" w:eastAsia="標楷體" w:hAnsi="標楷體" w:cs="新細明體" w:hint="eastAsia"/>
                <w:color w:val="000000"/>
                <w:kern w:val="0"/>
                <w:sz w:val="20"/>
              </w:rPr>
              <w:t>鴻威創業</w:t>
            </w:r>
            <w:proofErr w:type="gramEnd"/>
            <w:r w:rsidRPr="007E4374">
              <w:rPr>
                <w:rFonts w:ascii="標楷體" w:eastAsia="標楷體" w:hAnsi="標楷體" w:cs="新細明體" w:hint="eastAsia"/>
                <w:color w:val="000000"/>
                <w:kern w:val="0"/>
                <w:sz w:val="20"/>
              </w:rPr>
              <w:t>投資</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公司董事長</w:t>
            </w:r>
          </w:p>
        </w:tc>
        <w:tc>
          <w:tcPr>
            <w:tcW w:w="127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太陽有限公司</w:t>
            </w:r>
          </w:p>
        </w:tc>
      </w:tr>
      <w:tr w:rsidR="00EA3B99" w:rsidRPr="007E4374" w:rsidTr="00EA3B99">
        <w:trPr>
          <w:trHeight w:val="730"/>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代表人：</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黃湧芳</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紐約州立大學電機所碩士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公司營運長</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公司營運長</w:t>
            </w:r>
          </w:p>
        </w:tc>
        <w:tc>
          <w:tcPr>
            <w:tcW w:w="127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太陽有限公司</w:t>
            </w:r>
          </w:p>
        </w:tc>
      </w:tr>
      <w:tr w:rsidR="00EA3B99" w:rsidRPr="007E4374" w:rsidTr="00EA3B99">
        <w:trPr>
          <w:trHeight w:val="730"/>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代表人：</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陳國忠</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紐約市立大學企管碩士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公司財務長</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公司財務長</w:t>
            </w:r>
          </w:p>
        </w:tc>
        <w:tc>
          <w:tcPr>
            <w:tcW w:w="127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前驅國際有限公司</w:t>
            </w:r>
          </w:p>
        </w:tc>
      </w:tr>
      <w:tr w:rsidR="00EA3B99" w:rsidRPr="007E4374" w:rsidTr="00EA3B99">
        <w:trPr>
          <w:trHeight w:val="730"/>
        </w:trPr>
        <w:tc>
          <w:tcPr>
            <w:tcW w:w="816"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倪淑卿</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空中商專</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瑞</w:t>
            </w:r>
            <w:proofErr w:type="gramStart"/>
            <w:r w:rsidRPr="007E4374">
              <w:rPr>
                <w:rFonts w:ascii="標楷體" w:eastAsia="標楷體" w:hAnsi="標楷體" w:cs="新細明體" w:hint="eastAsia"/>
                <w:color w:val="000000"/>
                <w:kern w:val="0"/>
                <w:sz w:val="20"/>
              </w:rPr>
              <w:t>昱</w:t>
            </w:r>
            <w:proofErr w:type="gramEnd"/>
            <w:r w:rsidRPr="007E4374">
              <w:rPr>
                <w:rFonts w:ascii="標楷體" w:eastAsia="標楷體" w:hAnsi="標楷體" w:cs="新細明體" w:hint="eastAsia"/>
                <w:color w:val="000000"/>
                <w:kern w:val="0"/>
                <w:sz w:val="20"/>
              </w:rPr>
              <w:t>半導體</w:t>
            </w:r>
            <w:r w:rsidRPr="007E4374">
              <w:rPr>
                <w:rFonts w:eastAsia="標楷體"/>
                <w:color w:val="000000"/>
                <w:kern w:val="0"/>
                <w:sz w:val="20"/>
              </w:rPr>
              <w:t>(</w:t>
            </w:r>
            <w:r w:rsidRPr="007E4374">
              <w:rPr>
                <w:rFonts w:ascii="標楷體" w:eastAsia="標楷體" w:hAnsi="標楷體" w:cs="新細明體" w:hint="eastAsia"/>
                <w:color w:val="000000"/>
                <w:kern w:val="0"/>
                <w:sz w:val="20"/>
              </w:rPr>
              <w:t>股</w:t>
            </w:r>
            <w:r w:rsidRPr="007E4374">
              <w:rPr>
                <w:rFonts w:eastAsia="標楷體"/>
                <w:color w:val="000000"/>
                <w:kern w:val="0"/>
                <w:sz w:val="20"/>
              </w:rPr>
              <w:t>)</w:t>
            </w:r>
            <w:r w:rsidRPr="007E4374">
              <w:rPr>
                <w:rFonts w:ascii="標楷體" w:eastAsia="標楷體" w:hAnsi="標楷體" w:cs="新細明體" w:hint="eastAsia"/>
                <w:color w:val="000000"/>
                <w:kern w:val="0"/>
                <w:sz w:val="20"/>
              </w:rPr>
              <w:t>公司董事</w:t>
            </w:r>
          </w:p>
        </w:tc>
        <w:tc>
          <w:tcPr>
            <w:tcW w:w="1276" w:type="dxa"/>
            <w:shd w:val="clear" w:color="auto" w:fill="auto"/>
            <w:vAlign w:val="center"/>
          </w:tcPr>
          <w:p w:rsidR="00EA3B99" w:rsidRPr="007E4374" w:rsidRDefault="00EA3B99" w:rsidP="0065001E">
            <w:pPr>
              <w:widowControl/>
              <w:spacing w:line="360" w:lineRule="exact"/>
              <w:jc w:val="both"/>
              <w:rPr>
                <w:color w:val="000000"/>
                <w:kern w:val="0"/>
                <w:sz w:val="20"/>
              </w:rPr>
            </w:pPr>
            <w:r w:rsidRPr="007E4374">
              <w:rPr>
                <w:color w:val="000000"/>
                <w:kern w:val="0"/>
                <w:sz w:val="20"/>
              </w:rPr>
              <w:t xml:space="preserve">　</w:t>
            </w:r>
          </w:p>
        </w:tc>
      </w:tr>
      <w:tr w:rsidR="00EA3B99" w:rsidRPr="007E4374" w:rsidTr="00EA3B99">
        <w:trPr>
          <w:trHeight w:val="730"/>
        </w:trPr>
        <w:tc>
          <w:tcPr>
            <w:tcW w:w="81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獨立</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陳甫彥</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政治大學新聞研究所碩士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易遊網股份有限公司董事長</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易遊網股份有限公司董事長</w:t>
            </w:r>
          </w:p>
        </w:tc>
        <w:tc>
          <w:tcPr>
            <w:tcW w:w="1276" w:type="dxa"/>
            <w:shd w:val="clear" w:color="auto" w:fill="auto"/>
            <w:vAlign w:val="center"/>
          </w:tcPr>
          <w:p w:rsidR="00EA3B99" w:rsidRPr="007E4374" w:rsidRDefault="00EA3B99" w:rsidP="0065001E">
            <w:pPr>
              <w:widowControl/>
              <w:spacing w:line="360" w:lineRule="exact"/>
              <w:jc w:val="both"/>
              <w:rPr>
                <w:color w:val="000000"/>
                <w:kern w:val="0"/>
                <w:sz w:val="20"/>
              </w:rPr>
            </w:pPr>
            <w:r w:rsidRPr="007E4374">
              <w:rPr>
                <w:color w:val="000000"/>
                <w:kern w:val="0"/>
                <w:sz w:val="20"/>
              </w:rPr>
              <w:t xml:space="preserve">　</w:t>
            </w:r>
          </w:p>
        </w:tc>
      </w:tr>
      <w:tr w:rsidR="00EA3B99" w:rsidRPr="007E4374" w:rsidTr="00EA3B99">
        <w:trPr>
          <w:trHeight w:val="730"/>
        </w:trPr>
        <w:tc>
          <w:tcPr>
            <w:tcW w:w="81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獨立</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王俊雄</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美國杜蘭大學企業管理碩士學位</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捷</w:t>
            </w:r>
            <w:proofErr w:type="gramStart"/>
            <w:r w:rsidRPr="007E4374">
              <w:rPr>
                <w:rFonts w:ascii="標楷體" w:eastAsia="標楷體" w:hAnsi="標楷體" w:cs="新細明體" w:hint="eastAsia"/>
                <w:color w:val="000000"/>
                <w:kern w:val="0"/>
                <w:sz w:val="20"/>
              </w:rPr>
              <w:t>世</w:t>
            </w:r>
            <w:proofErr w:type="gramEnd"/>
            <w:r w:rsidRPr="007E4374">
              <w:rPr>
                <w:rFonts w:ascii="標楷體" w:eastAsia="標楷體" w:hAnsi="標楷體" w:cs="新細明體" w:hint="eastAsia"/>
                <w:color w:val="000000"/>
                <w:kern w:val="0"/>
                <w:sz w:val="20"/>
              </w:rPr>
              <w:t>林科技股份有限公司總經理</w:t>
            </w:r>
          </w:p>
        </w:tc>
        <w:tc>
          <w:tcPr>
            <w:tcW w:w="1842"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捷</w:t>
            </w:r>
            <w:proofErr w:type="gramStart"/>
            <w:r w:rsidRPr="007E4374">
              <w:rPr>
                <w:rFonts w:ascii="標楷體" w:eastAsia="標楷體" w:hAnsi="標楷體" w:cs="新細明體" w:hint="eastAsia"/>
                <w:color w:val="000000"/>
                <w:kern w:val="0"/>
                <w:sz w:val="20"/>
              </w:rPr>
              <w:t>世</w:t>
            </w:r>
            <w:proofErr w:type="gramEnd"/>
            <w:r w:rsidRPr="007E4374">
              <w:rPr>
                <w:rFonts w:ascii="標楷體" w:eastAsia="標楷體" w:hAnsi="標楷體" w:cs="新細明體" w:hint="eastAsia"/>
                <w:color w:val="000000"/>
                <w:kern w:val="0"/>
                <w:sz w:val="20"/>
              </w:rPr>
              <w:t>林科技股份有限公司總經理</w:t>
            </w:r>
          </w:p>
        </w:tc>
        <w:tc>
          <w:tcPr>
            <w:tcW w:w="1276" w:type="dxa"/>
            <w:shd w:val="clear" w:color="auto" w:fill="auto"/>
            <w:vAlign w:val="center"/>
          </w:tcPr>
          <w:p w:rsidR="00EA3B99" w:rsidRPr="007E4374" w:rsidRDefault="00EA3B99" w:rsidP="0065001E">
            <w:pPr>
              <w:widowControl/>
              <w:spacing w:line="360" w:lineRule="exact"/>
              <w:jc w:val="both"/>
              <w:rPr>
                <w:color w:val="000000"/>
                <w:kern w:val="0"/>
                <w:sz w:val="20"/>
              </w:rPr>
            </w:pPr>
          </w:p>
        </w:tc>
      </w:tr>
      <w:tr w:rsidR="00EA3B99" w:rsidRPr="007E4374" w:rsidTr="00EA3B99">
        <w:trPr>
          <w:trHeight w:val="730"/>
        </w:trPr>
        <w:tc>
          <w:tcPr>
            <w:tcW w:w="816"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獨立</w:t>
            </w:r>
          </w:p>
          <w:p w:rsidR="00EA3B99" w:rsidRPr="007E4374" w:rsidRDefault="00EA3B99" w:rsidP="0065001E">
            <w:pPr>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董事</w:t>
            </w:r>
          </w:p>
        </w:tc>
        <w:tc>
          <w:tcPr>
            <w:tcW w:w="948" w:type="dxa"/>
            <w:shd w:val="clear" w:color="auto" w:fill="auto"/>
            <w:vAlign w:val="center"/>
          </w:tcPr>
          <w:p w:rsidR="00EA3B99" w:rsidRPr="007E4374" w:rsidRDefault="00EA3B99" w:rsidP="0065001E">
            <w:pPr>
              <w:widowControl/>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歐陽文翰</w:t>
            </w:r>
          </w:p>
        </w:tc>
        <w:tc>
          <w:tcPr>
            <w:tcW w:w="1370"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台灣大學電機工程學士</w:t>
            </w:r>
          </w:p>
        </w:tc>
        <w:tc>
          <w:tcPr>
            <w:tcW w:w="1843" w:type="dxa"/>
            <w:shd w:val="clear" w:color="auto" w:fill="auto"/>
            <w:vAlign w:val="center"/>
          </w:tcPr>
          <w:p w:rsidR="00EA3B99" w:rsidRPr="007E4374" w:rsidRDefault="00EA3B99" w:rsidP="0065001E">
            <w:pPr>
              <w:widowControl/>
              <w:adjustRightInd w:val="0"/>
              <w:snapToGrid w:val="0"/>
              <w:spacing w:line="360" w:lineRule="exact"/>
              <w:jc w:val="both"/>
              <w:rPr>
                <w:rFonts w:ascii="標楷體" w:eastAsia="標楷體" w:hAnsi="標楷體" w:cs="新細明體"/>
                <w:color w:val="000000"/>
                <w:kern w:val="0"/>
                <w:sz w:val="20"/>
              </w:rPr>
            </w:pPr>
            <w:r w:rsidRPr="007E4374">
              <w:rPr>
                <w:rFonts w:ascii="標楷體" w:eastAsia="標楷體" w:hAnsi="標楷體" w:cs="新細明體" w:hint="eastAsia"/>
                <w:color w:val="000000"/>
                <w:kern w:val="0"/>
                <w:sz w:val="20"/>
              </w:rPr>
              <w:t>國紹泌尿科學教育基金會董事</w:t>
            </w:r>
          </w:p>
        </w:tc>
        <w:tc>
          <w:tcPr>
            <w:tcW w:w="1842" w:type="dxa"/>
            <w:shd w:val="clear" w:color="auto" w:fill="auto"/>
            <w:vAlign w:val="center"/>
          </w:tcPr>
          <w:p w:rsidR="00EA3B99" w:rsidRPr="007E4374" w:rsidRDefault="00EB6819" w:rsidP="0065001E">
            <w:pPr>
              <w:widowControl/>
              <w:adjustRightInd w:val="0"/>
              <w:snapToGrid w:val="0"/>
              <w:spacing w:line="360" w:lineRule="exact"/>
              <w:jc w:val="both"/>
              <w:rPr>
                <w:rFonts w:ascii="標楷體" w:eastAsia="標楷體" w:hAnsi="標楷體" w:cs="新細明體"/>
                <w:color w:val="000000"/>
                <w:kern w:val="0"/>
                <w:sz w:val="20"/>
              </w:rPr>
            </w:pPr>
            <w:r>
              <w:rPr>
                <w:rFonts w:ascii="標楷體" w:eastAsia="標楷體" w:hAnsi="標楷體" w:cs="新細明體" w:hint="eastAsia"/>
                <w:color w:val="000000"/>
                <w:kern w:val="0"/>
                <w:sz w:val="20"/>
              </w:rPr>
              <w:t>無</w:t>
            </w:r>
          </w:p>
        </w:tc>
        <w:tc>
          <w:tcPr>
            <w:tcW w:w="1276" w:type="dxa"/>
            <w:shd w:val="clear" w:color="auto" w:fill="auto"/>
            <w:vAlign w:val="center"/>
          </w:tcPr>
          <w:p w:rsidR="00EA3B99" w:rsidRPr="007E4374" w:rsidRDefault="00EA3B99" w:rsidP="0065001E">
            <w:pPr>
              <w:widowControl/>
              <w:spacing w:line="360" w:lineRule="exact"/>
              <w:jc w:val="both"/>
              <w:rPr>
                <w:color w:val="000000"/>
                <w:kern w:val="0"/>
                <w:sz w:val="20"/>
              </w:rPr>
            </w:pPr>
          </w:p>
        </w:tc>
      </w:tr>
    </w:tbl>
    <w:p w:rsidR="00253332" w:rsidRDefault="00253332" w:rsidP="00EA3B99">
      <w:pPr>
        <w:spacing w:line="320" w:lineRule="exact"/>
        <w:rPr>
          <w:rFonts w:ascii="標楷體" w:eastAsia="標楷體"/>
          <w:color w:val="000000"/>
          <w:sz w:val="28"/>
        </w:rPr>
      </w:pPr>
    </w:p>
    <w:p w:rsidR="00392704" w:rsidRPr="00253332" w:rsidRDefault="00253332" w:rsidP="00253332">
      <w:pPr>
        <w:widowControl/>
        <w:rPr>
          <w:rFonts w:ascii="標楷體" w:eastAsia="標楷體"/>
          <w:color w:val="000000"/>
          <w:sz w:val="28"/>
        </w:rPr>
      </w:pPr>
      <w:r>
        <w:rPr>
          <w:rFonts w:ascii="標楷體" w:eastAsia="標楷體"/>
          <w:color w:val="000000"/>
          <w:sz w:val="28"/>
        </w:rPr>
        <w:br w:type="page"/>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lastRenderedPageBreak/>
        <w:t>本公司董事會成員多元化政策如下：</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本公司董事會結構，應就公司經營發展規模及其主要股東持股情形，衡酌實務運作需要，決定適當董事席次。董事會成員組成應考量多元化，並就本身運作、營運型態及</w:t>
      </w:r>
      <w:r w:rsidRPr="00392704">
        <w:rPr>
          <w:rFonts w:eastAsia="標楷體" w:hint="eastAsia"/>
          <w:bCs/>
          <w:kern w:val="0"/>
          <w:szCs w:val="24"/>
          <w:lang w:eastAsia="zh-HK"/>
        </w:rPr>
        <w:t>長期</w:t>
      </w:r>
      <w:r w:rsidRPr="00392704">
        <w:rPr>
          <w:rFonts w:eastAsia="標楷體" w:hint="eastAsia"/>
          <w:bCs/>
          <w:kern w:val="0"/>
          <w:szCs w:val="24"/>
        </w:rPr>
        <w:t>發展需求擬訂適當之多元化方針，宜包括但不限於以下二大面向之標準：</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一、基本條件與價值：性別、年齡、國籍及文化等。</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二、專業知識與技能：專業背景（如法律、會計、產業、財務、行銷或科技）、專業技能及產業經歷等。</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董事會成員應普遍具備執行職務所必須之知識、技能及素養。為達到公司治理之理想目標，董事會整體應具備之能力如下：</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一、營運判斷能力。</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二、會計及財務分析能力。</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三、經營管理能力。</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四、危機處理能力。</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五、產業知識。</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六、國際市場觀。</w:t>
      </w:r>
    </w:p>
    <w:p w:rsidR="00392704" w:rsidRPr="00392704" w:rsidRDefault="00392704" w:rsidP="00392704">
      <w:pPr>
        <w:framePr w:hSpace="180" w:wrap="around" w:vAnchor="text" w:hAnchor="margin" w:xAlign="center" w:y="148"/>
        <w:widowControl/>
        <w:spacing w:line="320" w:lineRule="exact"/>
        <w:rPr>
          <w:rFonts w:eastAsia="標楷體"/>
          <w:bCs/>
          <w:kern w:val="0"/>
          <w:szCs w:val="24"/>
        </w:rPr>
      </w:pPr>
      <w:r w:rsidRPr="00392704">
        <w:rPr>
          <w:rFonts w:eastAsia="標楷體" w:hint="eastAsia"/>
          <w:bCs/>
          <w:kern w:val="0"/>
          <w:szCs w:val="24"/>
        </w:rPr>
        <w:t>七、領導能力。</w:t>
      </w:r>
    </w:p>
    <w:p w:rsidR="00392704" w:rsidRPr="00392704" w:rsidRDefault="00392704" w:rsidP="00392704">
      <w:pPr>
        <w:widowControl/>
        <w:rPr>
          <w:rFonts w:eastAsia="標楷體"/>
          <w:bCs/>
          <w:kern w:val="0"/>
          <w:szCs w:val="24"/>
        </w:rPr>
      </w:pPr>
      <w:r w:rsidRPr="00392704">
        <w:rPr>
          <w:rFonts w:eastAsia="標楷體" w:hint="eastAsia"/>
          <w:bCs/>
          <w:kern w:val="0"/>
          <w:szCs w:val="24"/>
        </w:rPr>
        <w:t>八、決策能力。</w:t>
      </w:r>
    </w:p>
    <w:p w:rsidR="00392704" w:rsidRPr="00392704" w:rsidRDefault="00392704" w:rsidP="00392704">
      <w:pPr>
        <w:widowControl/>
        <w:rPr>
          <w:rFonts w:eastAsia="標楷體"/>
          <w:bCs/>
          <w:kern w:val="0"/>
          <w:szCs w:val="24"/>
        </w:rPr>
      </w:pPr>
    </w:p>
    <w:p w:rsidR="00392704" w:rsidRPr="00392704" w:rsidRDefault="00392704" w:rsidP="00392704">
      <w:pPr>
        <w:widowControl/>
        <w:spacing w:line="320" w:lineRule="exact"/>
        <w:rPr>
          <w:rFonts w:eastAsia="標楷體"/>
          <w:bCs/>
          <w:kern w:val="0"/>
          <w:szCs w:val="24"/>
        </w:rPr>
      </w:pPr>
      <w:r w:rsidRPr="00392704">
        <w:rPr>
          <w:rFonts w:eastAsia="標楷體" w:hint="eastAsia"/>
          <w:bCs/>
          <w:kern w:val="0"/>
          <w:szCs w:val="24"/>
        </w:rPr>
        <w:t>本公司設置董事九席，其中三席為獨立董事，每位董事各自具備專業背景，包括經營管理、領導決策、產業知識、財務會計、國際行銷等，符合本公司之董事會成員多元化政策。</w:t>
      </w:r>
    </w:p>
    <w:p w:rsidR="00392704" w:rsidRDefault="00392704" w:rsidP="00392704">
      <w:pPr>
        <w:widowControl/>
        <w:spacing w:line="320" w:lineRule="exact"/>
        <w:rPr>
          <w:rFonts w:eastAsia="標楷體"/>
          <w:kern w:val="0"/>
          <w:szCs w:val="24"/>
        </w:rPr>
      </w:pPr>
      <w:r w:rsidRPr="00392704">
        <w:rPr>
          <w:rFonts w:eastAsia="標楷體" w:hint="eastAsia"/>
          <w:kern w:val="0"/>
          <w:szCs w:val="24"/>
        </w:rPr>
        <w:t>本公司董事具備之專業背景如下：</w:t>
      </w:r>
    </w:p>
    <w:p w:rsidR="00BB3B59" w:rsidRPr="00392704" w:rsidRDefault="00BB3B59" w:rsidP="00392704">
      <w:pPr>
        <w:widowControl/>
        <w:spacing w:line="320" w:lineRule="exact"/>
        <w:rPr>
          <w:rFonts w:eastAsia="標楷體"/>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796"/>
        <w:gridCol w:w="1196"/>
        <w:gridCol w:w="1196"/>
        <w:gridCol w:w="1196"/>
        <w:gridCol w:w="1196"/>
        <w:gridCol w:w="1196"/>
      </w:tblGrid>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董事</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性別</w:t>
            </w:r>
          </w:p>
        </w:tc>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經營管理</w:t>
            </w:r>
          </w:p>
        </w:tc>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領導決策</w:t>
            </w:r>
          </w:p>
        </w:tc>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產業知識</w:t>
            </w:r>
          </w:p>
        </w:tc>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財務會計</w:t>
            </w:r>
          </w:p>
        </w:tc>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國際行銷</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葉南宏</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proofErr w:type="gramStart"/>
            <w:r w:rsidRPr="00BB3B59">
              <w:rPr>
                <w:rFonts w:ascii="標楷體" w:eastAsia="標楷體" w:hAnsi="標楷體" w:hint="eastAsia"/>
                <w:kern w:val="0"/>
                <w:szCs w:val="24"/>
              </w:rPr>
              <w:t>葉博任</w:t>
            </w:r>
            <w:proofErr w:type="gramEnd"/>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邱順建</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陳國忠</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黃湧芳</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倪淑卿</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女</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歐陽文翰</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陳甫彥</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r w:rsidR="00392704" w:rsidRPr="00BB3B59" w:rsidTr="008B05CE">
        <w:trPr>
          <w:trHeight w:val="320"/>
        </w:trPr>
        <w:tc>
          <w:tcPr>
            <w:tcW w:w="11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王俊雄</w:t>
            </w:r>
          </w:p>
        </w:tc>
        <w:tc>
          <w:tcPr>
            <w:tcW w:w="796" w:type="dxa"/>
            <w:shd w:val="clear" w:color="auto" w:fill="auto"/>
            <w:vAlign w:val="center"/>
          </w:tcPr>
          <w:p w:rsidR="00392704" w:rsidRPr="00BB3B59" w:rsidRDefault="00392704" w:rsidP="00BB3B59">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男</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c>
          <w:tcPr>
            <w:tcW w:w="1196" w:type="dxa"/>
            <w:shd w:val="clear" w:color="auto" w:fill="auto"/>
            <w:vAlign w:val="center"/>
          </w:tcPr>
          <w:p w:rsidR="00392704" w:rsidRPr="00BB3B59" w:rsidRDefault="00392704" w:rsidP="00392704">
            <w:pPr>
              <w:widowControl/>
              <w:spacing w:line="320" w:lineRule="exact"/>
              <w:jc w:val="center"/>
              <w:rPr>
                <w:rFonts w:ascii="標楷體" w:eastAsia="標楷體" w:hAnsi="標楷體"/>
                <w:kern w:val="0"/>
                <w:szCs w:val="24"/>
              </w:rPr>
            </w:pPr>
            <w:r w:rsidRPr="00BB3B59">
              <w:rPr>
                <w:rFonts w:ascii="標楷體" w:eastAsia="標楷體" w:hAnsi="標楷體" w:hint="eastAsia"/>
                <w:kern w:val="0"/>
                <w:szCs w:val="24"/>
              </w:rPr>
              <w:t>V</w:t>
            </w:r>
          </w:p>
        </w:tc>
      </w:tr>
    </w:tbl>
    <w:p w:rsidR="00253332" w:rsidRDefault="00253332"/>
    <w:p w:rsidR="00253332" w:rsidRDefault="00253332" w:rsidP="00253332">
      <w:pPr>
        <w:widowControl/>
        <w:rPr>
          <w:rFonts w:hint="eastAsia"/>
        </w:rPr>
      </w:pPr>
      <w:r>
        <w:br w:type="page"/>
      </w:r>
    </w:p>
    <w:p w:rsidR="00253332" w:rsidRPr="00253332" w:rsidRDefault="00253332" w:rsidP="00253332">
      <w:pPr>
        <w:rPr>
          <w:rFonts w:eastAsia="標楷體"/>
        </w:rPr>
      </w:pPr>
      <w:r w:rsidRPr="00253332">
        <w:rPr>
          <w:rFonts w:eastAsia="標楷體" w:hint="eastAsia"/>
        </w:rPr>
        <w:lastRenderedPageBreak/>
        <w:t>董事會成員及重要管理階層之接班規劃</w:t>
      </w:r>
      <w:r w:rsidRPr="00253332">
        <w:rPr>
          <w:rFonts w:eastAsia="標楷體" w:hint="eastAsia"/>
          <w:lang w:eastAsia="zh-HK"/>
        </w:rPr>
        <w:t>及運作情形</w:t>
      </w:r>
      <w:r w:rsidRPr="00253332">
        <w:rPr>
          <w:rFonts w:eastAsia="標楷體" w:hint="eastAsia"/>
        </w:rPr>
        <w:t>：</w:t>
      </w:r>
    </w:p>
    <w:p w:rsidR="00253332" w:rsidRPr="00253332" w:rsidRDefault="00253332" w:rsidP="00253332">
      <w:pPr>
        <w:rPr>
          <w:rFonts w:eastAsia="標楷體"/>
        </w:rPr>
      </w:pPr>
      <w:r w:rsidRPr="00253332">
        <w:rPr>
          <w:rFonts w:eastAsia="標楷體" w:hint="eastAsia"/>
        </w:rPr>
        <w:t>(</w:t>
      </w:r>
      <w:proofErr w:type="gramStart"/>
      <w:r w:rsidRPr="00253332">
        <w:rPr>
          <w:rFonts w:eastAsia="標楷體" w:hint="eastAsia"/>
          <w:lang w:eastAsia="zh-HK"/>
        </w:rPr>
        <w:t>一</w:t>
      </w:r>
      <w:proofErr w:type="gramEnd"/>
      <w:r w:rsidRPr="00253332">
        <w:rPr>
          <w:rFonts w:eastAsia="標楷體" w:hint="eastAsia"/>
        </w:rPr>
        <w:t>)</w:t>
      </w:r>
      <w:r w:rsidRPr="00253332">
        <w:rPr>
          <w:rFonts w:eastAsia="標楷體"/>
        </w:rPr>
        <w:t xml:space="preserve"> </w:t>
      </w:r>
      <w:r w:rsidRPr="00253332">
        <w:rPr>
          <w:rFonts w:eastAsia="標楷體" w:hint="eastAsia"/>
        </w:rPr>
        <w:t>董事會成員之接班規劃</w:t>
      </w:r>
    </w:p>
    <w:p w:rsidR="00253332" w:rsidRPr="00253332" w:rsidRDefault="00253332" w:rsidP="00253332">
      <w:pPr>
        <w:ind w:leftChars="221" w:left="530"/>
        <w:rPr>
          <w:rFonts w:eastAsia="標楷體"/>
        </w:rPr>
      </w:pPr>
      <w:r w:rsidRPr="00253332">
        <w:rPr>
          <w:rFonts w:eastAsia="標楷體" w:hint="eastAsia"/>
        </w:rPr>
        <w:t>本公司目前董事共計</w:t>
      </w:r>
      <w:r w:rsidRPr="00253332">
        <w:rPr>
          <w:rFonts w:eastAsia="標楷體" w:hint="eastAsia"/>
        </w:rPr>
        <w:t>9</w:t>
      </w:r>
      <w:r w:rsidRPr="00253332">
        <w:rPr>
          <w:rFonts w:eastAsia="標楷體" w:hint="eastAsia"/>
        </w:rPr>
        <w:t>名</w:t>
      </w:r>
      <w:r w:rsidRPr="00253332">
        <w:rPr>
          <w:rFonts w:eastAsia="標楷體" w:hint="eastAsia"/>
        </w:rPr>
        <w:t>(</w:t>
      </w:r>
      <w:r w:rsidRPr="00253332">
        <w:rPr>
          <w:rFonts w:eastAsia="標楷體" w:hint="eastAsia"/>
        </w:rPr>
        <w:t>含獨立董事</w:t>
      </w:r>
      <w:r w:rsidRPr="00253332">
        <w:rPr>
          <w:rFonts w:eastAsia="標楷體" w:hint="eastAsia"/>
        </w:rPr>
        <w:t>3</w:t>
      </w:r>
      <w:r w:rsidRPr="00253332">
        <w:rPr>
          <w:rFonts w:eastAsia="標楷體" w:hint="eastAsia"/>
        </w:rPr>
        <w:t>名</w:t>
      </w:r>
      <w:r w:rsidRPr="00253332">
        <w:rPr>
          <w:rFonts w:eastAsia="標楷體" w:hint="eastAsia"/>
        </w:rPr>
        <w:t>)</w:t>
      </w:r>
      <w:r w:rsidRPr="00253332">
        <w:rPr>
          <w:rFonts w:eastAsia="標楷體" w:hint="eastAsia"/>
        </w:rPr>
        <w:t>，董事之提名及選任係考量董事會整體應具備之能力及成員組成多元化，並依據績效評估之結果及實務運作之需要，適時調整成員組成。董事會成員之接班規劃包括集團內部高階管理主管接任，及延攬具備經營管理、法律、會計、產業、技術、行銷之外部專業人士。</w:t>
      </w:r>
    </w:p>
    <w:p w:rsidR="00253332" w:rsidRPr="00253332" w:rsidRDefault="00253332" w:rsidP="00253332">
      <w:pPr>
        <w:rPr>
          <w:rFonts w:eastAsia="標楷體"/>
        </w:rPr>
      </w:pPr>
      <w:r w:rsidRPr="00253332">
        <w:rPr>
          <w:rFonts w:eastAsia="標楷體" w:hint="eastAsia"/>
        </w:rPr>
        <w:t>(</w:t>
      </w:r>
      <w:r w:rsidRPr="00253332">
        <w:rPr>
          <w:rFonts w:eastAsia="標楷體" w:hint="eastAsia"/>
          <w:lang w:eastAsia="zh-HK"/>
        </w:rPr>
        <w:t>二</w:t>
      </w:r>
      <w:r w:rsidRPr="00253332">
        <w:rPr>
          <w:rFonts w:eastAsia="標楷體" w:hint="eastAsia"/>
        </w:rPr>
        <w:t>)</w:t>
      </w:r>
      <w:r w:rsidRPr="00253332">
        <w:rPr>
          <w:rFonts w:eastAsia="標楷體"/>
        </w:rPr>
        <w:t xml:space="preserve"> </w:t>
      </w:r>
      <w:r w:rsidRPr="00253332">
        <w:rPr>
          <w:rFonts w:eastAsia="標楷體" w:hint="eastAsia"/>
        </w:rPr>
        <w:t>重要管理階層之接班規劃</w:t>
      </w:r>
    </w:p>
    <w:p w:rsidR="00253332" w:rsidRPr="00253332" w:rsidRDefault="00253332" w:rsidP="00253332">
      <w:pPr>
        <w:ind w:leftChars="227" w:left="545"/>
        <w:rPr>
          <w:rFonts w:eastAsia="標楷體"/>
        </w:rPr>
      </w:pPr>
      <w:r w:rsidRPr="00253332">
        <w:rPr>
          <w:rFonts w:eastAsia="標楷體" w:hint="eastAsia"/>
        </w:rPr>
        <w:t>本公司重要管理階層之接班規劃主要建構如下：</w:t>
      </w:r>
    </w:p>
    <w:p w:rsidR="00253332" w:rsidRPr="00253332" w:rsidRDefault="00253332" w:rsidP="00253332">
      <w:pPr>
        <w:ind w:leftChars="227" w:left="879" w:hangingChars="139" w:hanging="334"/>
        <w:rPr>
          <w:rFonts w:eastAsia="標楷體"/>
        </w:rPr>
      </w:pPr>
      <w:r w:rsidRPr="00253332">
        <w:rPr>
          <w:rFonts w:eastAsia="標楷體" w:hint="eastAsia"/>
        </w:rPr>
        <w:t xml:space="preserve">1. </w:t>
      </w:r>
      <w:r w:rsidRPr="00253332">
        <w:rPr>
          <w:rFonts w:eastAsia="標楷體" w:hint="eastAsia"/>
        </w:rPr>
        <w:t>依據未來發展策略，定義公司所需職位及人才需求，並因應營運與策略變化，定期檢討接班規劃。</w:t>
      </w:r>
    </w:p>
    <w:p w:rsidR="00253332" w:rsidRPr="00253332" w:rsidRDefault="00253332" w:rsidP="00253332">
      <w:pPr>
        <w:ind w:leftChars="238" w:left="893" w:hangingChars="134" w:hanging="322"/>
        <w:rPr>
          <w:rFonts w:eastAsia="標楷體"/>
        </w:rPr>
      </w:pPr>
      <w:r w:rsidRPr="00253332">
        <w:rPr>
          <w:rFonts w:eastAsia="標楷體" w:hint="eastAsia"/>
        </w:rPr>
        <w:t xml:space="preserve">2. </w:t>
      </w:r>
      <w:r w:rsidRPr="00253332">
        <w:rPr>
          <w:rFonts w:eastAsia="標楷體" w:hint="eastAsia"/>
        </w:rPr>
        <w:t>發掘具潛力與才能之主管人才進入接班規劃候選人才庫，並建立完善訓練機制與才能發展計劃給予培訓。</w:t>
      </w:r>
    </w:p>
    <w:p w:rsidR="00253332" w:rsidRDefault="00253332" w:rsidP="00253332">
      <w:pPr>
        <w:ind w:leftChars="227" w:left="893" w:hangingChars="145" w:hanging="348"/>
        <w:rPr>
          <w:rFonts w:ascii="標楷體" w:eastAsia="標楷體" w:hAnsi="標楷體"/>
        </w:rPr>
      </w:pPr>
      <w:r w:rsidRPr="00253332">
        <w:rPr>
          <w:rFonts w:eastAsia="標楷體" w:hint="eastAsia"/>
        </w:rPr>
        <w:t xml:space="preserve">3. </w:t>
      </w:r>
      <w:r w:rsidRPr="00253332">
        <w:rPr>
          <w:rFonts w:eastAsia="標楷體" w:hint="eastAsia"/>
        </w:rPr>
        <w:t>適時提升中階主管作為高階主管之職務代理人</w:t>
      </w:r>
      <w:r>
        <w:rPr>
          <w:rFonts w:eastAsia="標楷體" w:hint="eastAsia"/>
        </w:rPr>
        <w:t>，並透過績效考核瞭解中階主管之培育狀況及作為接班規劃之參考依據</w:t>
      </w:r>
      <w:r>
        <w:rPr>
          <w:rFonts w:ascii="標楷體" w:eastAsia="標楷體" w:hAnsi="標楷體" w:hint="eastAsia"/>
        </w:rPr>
        <w:t>。</w:t>
      </w:r>
    </w:p>
    <w:p w:rsidR="00253332" w:rsidRDefault="00253332" w:rsidP="00351FFD">
      <w:pPr>
        <w:widowControl/>
        <w:rPr>
          <w:rFonts w:ascii="標楷體" w:eastAsia="標楷體" w:hAnsi="標楷體" w:hint="eastAsia"/>
        </w:rPr>
      </w:pPr>
      <w:bookmarkStart w:id="0" w:name="_GoBack"/>
      <w:bookmarkEnd w:id="0"/>
    </w:p>
    <w:sectPr w:rsidR="00253332" w:rsidSect="004944BB">
      <w:headerReference w:type="default" r:id="rId5"/>
      <w:footerReference w:type="even" r:id="rId6"/>
      <w:footerReference w:type="default" r:id="rId7"/>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7" w:rsidRDefault="004944B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1F97" w:rsidRDefault="004944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7" w:rsidRDefault="004944BB" w:rsidP="00C6728B">
    <w:pPr>
      <w:pStyle w:val="a5"/>
      <w:framePr w:h="1087" w:hRule="exact" w:wrap="around" w:vAnchor="text" w:hAnchor="margin" w:xAlign="center" w:y="229"/>
      <w:ind w:rightChars="-68" w:right="-163"/>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p w:rsidR="00401F97" w:rsidRDefault="004944BB" w:rsidP="007D63E1">
    <w:pPr>
      <w:pStyle w:val="a5"/>
      <w:tabs>
        <w:tab w:val="clear" w:pos="4153"/>
        <w:tab w:val="center" w:pos="4080"/>
        <w:tab w:val="left" w:pos="4680"/>
        <w:tab w:val="left" w:pos="5040"/>
      </w:tabs>
      <w:jc w:val="center"/>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97" w:rsidRPr="008B6990" w:rsidRDefault="004944BB" w:rsidP="008B69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9"/>
    <w:rsid w:val="00253332"/>
    <w:rsid w:val="00351FFD"/>
    <w:rsid w:val="00392704"/>
    <w:rsid w:val="004944BB"/>
    <w:rsid w:val="0050775F"/>
    <w:rsid w:val="00774CDB"/>
    <w:rsid w:val="008B05CE"/>
    <w:rsid w:val="009C5613"/>
    <w:rsid w:val="00BB3B59"/>
    <w:rsid w:val="00E31B04"/>
    <w:rsid w:val="00EA3B99"/>
    <w:rsid w:val="00EB6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9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C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4CDB"/>
    <w:rPr>
      <w:rFonts w:asciiTheme="majorHAnsi" w:eastAsiaTheme="majorEastAsia" w:hAnsiTheme="majorHAnsi" w:cstheme="majorBidi"/>
      <w:sz w:val="18"/>
      <w:szCs w:val="18"/>
    </w:rPr>
  </w:style>
  <w:style w:type="paragraph" w:styleId="a5">
    <w:name w:val="footer"/>
    <w:basedOn w:val="a"/>
    <w:link w:val="a6"/>
    <w:uiPriority w:val="99"/>
    <w:semiHidden/>
    <w:unhideWhenUsed/>
    <w:rsid w:val="00253332"/>
    <w:pPr>
      <w:tabs>
        <w:tab w:val="center" w:pos="4153"/>
        <w:tab w:val="right" w:pos="8306"/>
      </w:tabs>
      <w:snapToGrid w:val="0"/>
    </w:pPr>
    <w:rPr>
      <w:sz w:val="20"/>
    </w:rPr>
  </w:style>
  <w:style w:type="character" w:customStyle="1" w:styleId="a6">
    <w:name w:val="頁尾 字元"/>
    <w:basedOn w:val="a0"/>
    <w:link w:val="a5"/>
    <w:uiPriority w:val="99"/>
    <w:semiHidden/>
    <w:rsid w:val="00253332"/>
    <w:rPr>
      <w:rFonts w:ascii="Times New Roman" w:eastAsia="新細明體" w:hAnsi="Times New Roman" w:cs="Times New Roman"/>
      <w:sz w:val="20"/>
      <w:szCs w:val="20"/>
    </w:rPr>
  </w:style>
  <w:style w:type="paragraph" w:styleId="a7">
    <w:name w:val="header"/>
    <w:basedOn w:val="a"/>
    <w:link w:val="a8"/>
    <w:uiPriority w:val="99"/>
    <w:semiHidden/>
    <w:unhideWhenUsed/>
    <w:rsid w:val="00253332"/>
    <w:pPr>
      <w:tabs>
        <w:tab w:val="center" w:pos="4153"/>
        <w:tab w:val="right" w:pos="8306"/>
      </w:tabs>
      <w:snapToGrid w:val="0"/>
    </w:pPr>
    <w:rPr>
      <w:sz w:val="20"/>
    </w:rPr>
  </w:style>
  <w:style w:type="character" w:customStyle="1" w:styleId="a8">
    <w:name w:val="頁首 字元"/>
    <w:basedOn w:val="a0"/>
    <w:link w:val="a7"/>
    <w:uiPriority w:val="99"/>
    <w:semiHidden/>
    <w:rsid w:val="00253332"/>
    <w:rPr>
      <w:rFonts w:ascii="Times New Roman" w:eastAsia="新細明體" w:hAnsi="Times New Roman" w:cs="Times New Roman"/>
      <w:sz w:val="20"/>
      <w:szCs w:val="20"/>
    </w:rPr>
  </w:style>
  <w:style w:type="character" w:styleId="a9">
    <w:name w:val="page number"/>
    <w:basedOn w:val="a0"/>
    <w:rsid w:val="0025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B9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C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4CDB"/>
    <w:rPr>
      <w:rFonts w:asciiTheme="majorHAnsi" w:eastAsiaTheme="majorEastAsia" w:hAnsiTheme="majorHAnsi" w:cstheme="majorBidi"/>
      <w:sz w:val="18"/>
      <w:szCs w:val="18"/>
    </w:rPr>
  </w:style>
  <w:style w:type="paragraph" w:styleId="a5">
    <w:name w:val="footer"/>
    <w:basedOn w:val="a"/>
    <w:link w:val="a6"/>
    <w:uiPriority w:val="99"/>
    <w:semiHidden/>
    <w:unhideWhenUsed/>
    <w:rsid w:val="00253332"/>
    <w:pPr>
      <w:tabs>
        <w:tab w:val="center" w:pos="4153"/>
        <w:tab w:val="right" w:pos="8306"/>
      </w:tabs>
      <w:snapToGrid w:val="0"/>
    </w:pPr>
    <w:rPr>
      <w:sz w:val="20"/>
    </w:rPr>
  </w:style>
  <w:style w:type="character" w:customStyle="1" w:styleId="a6">
    <w:name w:val="頁尾 字元"/>
    <w:basedOn w:val="a0"/>
    <w:link w:val="a5"/>
    <w:uiPriority w:val="99"/>
    <w:semiHidden/>
    <w:rsid w:val="00253332"/>
    <w:rPr>
      <w:rFonts w:ascii="Times New Roman" w:eastAsia="新細明體" w:hAnsi="Times New Roman" w:cs="Times New Roman"/>
      <w:sz w:val="20"/>
      <w:szCs w:val="20"/>
    </w:rPr>
  </w:style>
  <w:style w:type="paragraph" w:styleId="a7">
    <w:name w:val="header"/>
    <w:basedOn w:val="a"/>
    <w:link w:val="a8"/>
    <w:uiPriority w:val="99"/>
    <w:semiHidden/>
    <w:unhideWhenUsed/>
    <w:rsid w:val="00253332"/>
    <w:pPr>
      <w:tabs>
        <w:tab w:val="center" w:pos="4153"/>
        <w:tab w:val="right" w:pos="8306"/>
      </w:tabs>
      <w:snapToGrid w:val="0"/>
    </w:pPr>
    <w:rPr>
      <w:sz w:val="20"/>
    </w:rPr>
  </w:style>
  <w:style w:type="character" w:customStyle="1" w:styleId="a8">
    <w:name w:val="頁首 字元"/>
    <w:basedOn w:val="a0"/>
    <w:link w:val="a7"/>
    <w:uiPriority w:val="99"/>
    <w:semiHidden/>
    <w:rsid w:val="00253332"/>
    <w:rPr>
      <w:rFonts w:ascii="Times New Roman" w:eastAsia="新細明體" w:hAnsi="Times New Roman" w:cs="Times New Roman"/>
      <w:sz w:val="20"/>
      <w:szCs w:val="20"/>
    </w:rPr>
  </w:style>
  <w:style w:type="character" w:styleId="a9">
    <w:name w:val="page number"/>
    <w:basedOn w:val="a0"/>
    <w:rsid w:val="0025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234</Words>
  <Characters>1336</Characters>
  <Application>Microsoft Office Word</Application>
  <DocSecurity>0</DocSecurity>
  <Lines>11</Lines>
  <Paragraphs>3</Paragraphs>
  <ScaleCrop>false</ScaleCrop>
  <Company>Realtek</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蔡淑慧</dc:creator>
  <cp:lastModifiedBy>蔡淑慧</cp:lastModifiedBy>
  <cp:revision>9</cp:revision>
  <cp:lastPrinted>2019-09-04T02:28:00Z</cp:lastPrinted>
  <dcterms:created xsi:type="dcterms:W3CDTF">2019-09-04T06:06:00Z</dcterms:created>
  <dcterms:modified xsi:type="dcterms:W3CDTF">2019-12-05T07:51:00Z</dcterms:modified>
</cp:coreProperties>
</file>